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05" w:rsidRDefault="00A27082" w:rsidP="00A27082">
      <w:pPr>
        <w:ind w:left="-540"/>
      </w:pPr>
      <w:r>
        <w:t>Radiation Sources and Safety Web Quest</w:t>
      </w:r>
      <w:r w:rsidR="00577DD2">
        <w:tab/>
      </w:r>
      <w:r w:rsidR="00577DD2">
        <w:tab/>
        <w:t>Name ____________________________________</w:t>
      </w:r>
    </w:p>
    <w:p w:rsidR="00A27082" w:rsidRDefault="00A27082" w:rsidP="00A27082">
      <w:pPr>
        <w:pStyle w:val="ListParagraph"/>
        <w:numPr>
          <w:ilvl w:val="0"/>
          <w:numId w:val="2"/>
        </w:numPr>
      </w:pPr>
      <w:bookmarkStart w:id="0" w:name="_GoBack"/>
      <w:bookmarkEnd w:id="0"/>
      <w:r>
        <w:t>Go to the first site listed under Radiation/Safety resources and scroll down to the</w:t>
      </w:r>
      <w:r w:rsidR="000C4C60">
        <w:t xml:space="preserve"> middle</w:t>
      </w:r>
      <w:r>
        <w:t xml:space="preserve"> of the page to visualize the table.</w:t>
      </w:r>
    </w:p>
    <w:p w:rsidR="00A27082" w:rsidRDefault="00A27082" w:rsidP="00A27082">
      <w:pPr>
        <w:pStyle w:val="ListParagraph"/>
        <w:numPr>
          <w:ilvl w:val="0"/>
          <w:numId w:val="3"/>
        </w:numPr>
      </w:pPr>
      <w:r>
        <w:t xml:space="preserve"> Write the </w:t>
      </w:r>
      <w:r w:rsidR="009C0F73" w:rsidRPr="009C0F73">
        <w:rPr>
          <w:b/>
          <w:u w:val="single"/>
        </w:rPr>
        <w:t xml:space="preserve">nuclear </w:t>
      </w:r>
      <w:r>
        <w:t xml:space="preserve">symbol (with numbers) for each type of radiation in the table </w:t>
      </w:r>
      <w:r w:rsidR="00406352">
        <w:t>below</w:t>
      </w:r>
      <w:r>
        <w:t>.</w:t>
      </w:r>
    </w:p>
    <w:p w:rsidR="000C4C60" w:rsidRDefault="00A27082" w:rsidP="00A27082">
      <w:pPr>
        <w:pStyle w:val="ListParagraph"/>
        <w:numPr>
          <w:ilvl w:val="0"/>
          <w:numId w:val="3"/>
        </w:numPr>
      </w:pPr>
      <w:r>
        <w:t>In terms of easy, medium,</w:t>
      </w:r>
      <w:r w:rsidR="000C4C60">
        <w:t xml:space="preserve"> and</w:t>
      </w:r>
      <w:r>
        <w:t xml:space="preserve"> </w:t>
      </w:r>
      <w:r w:rsidR="00214C95">
        <w:t>difficult</w:t>
      </w:r>
      <w:r w:rsidR="000C4C60">
        <w:t>,</w:t>
      </w:r>
      <w:r>
        <w:t xml:space="preserve"> fill in </w:t>
      </w:r>
      <w:r w:rsidR="000C4C60">
        <w:t>the</w:t>
      </w:r>
      <w:r w:rsidR="00577DD2">
        <w:t xml:space="preserve"> relative</w:t>
      </w:r>
      <w:r w:rsidR="000C4C60">
        <w:t xml:space="preserve"> ease at which each of these particles can be stopped in the row labeled shielding.</w:t>
      </w:r>
    </w:p>
    <w:p w:rsidR="00772617" w:rsidRDefault="00772617" w:rsidP="00772617">
      <w:pPr>
        <w:pStyle w:val="ListParagraph"/>
        <w:numPr>
          <w:ilvl w:val="1"/>
          <w:numId w:val="3"/>
        </w:numPr>
      </w:pPr>
      <w:r>
        <w:t>Provide an example of what type of material would be able to stop:</w:t>
      </w:r>
    </w:p>
    <w:p w:rsidR="00772617" w:rsidRDefault="00772617" w:rsidP="00772617">
      <w:pPr>
        <w:pStyle w:val="ListParagraph"/>
        <w:ind w:left="1800"/>
      </w:pPr>
    </w:p>
    <w:p w:rsidR="00772617" w:rsidRDefault="00772617" w:rsidP="00772617">
      <w:pPr>
        <w:pStyle w:val="ListParagraph"/>
        <w:numPr>
          <w:ilvl w:val="2"/>
          <w:numId w:val="3"/>
        </w:numPr>
        <w:spacing w:line="360" w:lineRule="auto"/>
      </w:pPr>
      <w:r>
        <w:t xml:space="preserve">Alpha Radiation      </w:t>
      </w:r>
      <w:r w:rsidRPr="00406352">
        <w:rPr>
          <w:color w:val="FF0000"/>
        </w:rPr>
        <w:t>___</w:t>
      </w:r>
      <w:r w:rsidR="00406352">
        <w:rPr>
          <w:color w:val="FF0000"/>
          <w:u w:val="single"/>
        </w:rPr>
        <w:t>F</w:t>
      </w:r>
      <w:r w:rsidR="00406352" w:rsidRPr="00406352">
        <w:rPr>
          <w:color w:val="FF0000"/>
          <w:u w:val="single"/>
        </w:rPr>
        <w:t>ew cm of air or a thin sheet of paper</w:t>
      </w:r>
      <w:r w:rsidRPr="00406352">
        <w:rPr>
          <w:color w:val="FF0000"/>
        </w:rPr>
        <w:t>_____</w:t>
      </w:r>
    </w:p>
    <w:p w:rsidR="00772617" w:rsidRDefault="00406352" w:rsidP="00772617">
      <w:pPr>
        <w:pStyle w:val="ListParagraph"/>
        <w:numPr>
          <w:ilvl w:val="2"/>
          <w:numId w:val="3"/>
        </w:numPr>
        <w:spacing w:line="360" w:lineRule="auto"/>
      </w:pPr>
      <w:r>
        <w:t xml:space="preserve">Beta Radiation        </w:t>
      </w:r>
      <w:r w:rsidRPr="00406352">
        <w:rPr>
          <w:color w:val="FF0000"/>
          <w:u w:val="single"/>
        </w:rPr>
        <w:t>___Few mm of metals like aluminum</w:t>
      </w:r>
      <w:r w:rsidR="00772617" w:rsidRPr="00406352">
        <w:rPr>
          <w:color w:val="FF0000"/>
          <w:u w:val="single"/>
        </w:rPr>
        <w:t>_</w:t>
      </w:r>
      <w:r w:rsidRPr="00406352">
        <w:rPr>
          <w:color w:val="FF0000"/>
          <w:u w:val="single"/>
        </w:rPr>
        <w:t>________</w:t>
      </w:r>
    </w:p>
    <w:p w:rsidR="00772617" w:rsidRDefault="00772617" w:rsidP="00772617">
      <w:pPr>
        <w:pStyle w:val="ListParagraph"/>
        <w:numPr>
          <w:ilvl w:val="2"/>
          <w:numId w:val="3"/>
        </w:numPr>
        <w:spacing w:line="360" w:lineRule="auto"/>
      </w:pPr>
      <w:r>
        <w:t xml:space="preserve">Gamma Radiation  </w:t>
      </w:r>
      <w:r w:rsidRPr="00406352">
        <w:rPr>
          <w:color w:val="FF0000"/>
          <w:u w:val="single"/>
        </w:rPr>
        <w:t>___</w:t>
      </w:r>
      <w:r w:rsidR="00406352" w:rsidRPr="00406352">
        <w:rPr>
          <w:color w:val="FF0000"/>
          <w:u w:val="single"/>
        </w:rPr>
        <w:t>Thick layer of steel or concrete, several cm of lead</w:t>
      </w:r>
    </w:p>
    <w:p w:rsidR="000C4C60" w:rsidRDefault="000C4C60" w:rsidP="00A27082">
      <w:pPr>
        <w:pStyle w:val="ListParagraph"/>
        <w:numPr>
          <w:ilvl w:val="0"/>
          <w:numId w:val="3"/>
        </w:numPr>
      </w:pPr>
      <w:r>
        <w:t xml:space="preserve">Ionizing ability is directly related to biological hazard.  Rate each particle </w:t>
      </w:r>
      <w:r w:rsidR="00013078">
        <w:t xml:space="preserve">as either </w:t>
      </w:r>
      <w:r>
        <w:t xml:space="preserve"> low</w:t>
      </w:r>
      <w:r w:rsidR="00013078">
        <w:t xml:space="preserve">, medium, or </w:t>
      </w:r>
      <w:r>
        <w:t>high according to its biological hazard.</w:t>
      </w:r>
    </w:p>
    <w:p w:rsidR="00A27082" w:rsidRDefault="000C4C60" w:rsidP="00A27082">
      <w:pPr>
        <w:pStyle w:val="ListParagraph"/>
        <w:numPr>
          <w:ilvl w:val="0"/>
          <w:numId w:val="3"/>
        </w:numPr>
      </w:pPr>
      <w:r>
        <w:t xml:space="preserve"> </w:t>
      </w:r>
      <w:r w:rsidR="00772617">
        <w:t xml:space="preserve">The energy of a particle is directly related to its mass.  Rate the energy of </w:t>
      </w:r>
      <w:r w:rsidR="00013078">
        <w:t>each particle as having low, medium or high energy (relative to each other) based on their relative masses in the row labeled energy.</w:t>
      </w:r>
    </w:p>
    <w:p w:rsidR="00013078" w:rsidRDefault="00013078" w:rsidP="00013078">
      <w:pPr>
        <w:pStyle w:val="ListParagraph"/>
        <w:numPr>
          <w:ilvl w:val="0"/>
          <w:numId w:val="2"/>
        </w:numPr>
      </w:pPr>
      <w:r>
        <w:t xml:space="preserve"> Go to the second site listed under Radiation/Safety Resources and examine the information about each type of radiation.  Based on the descriptions of each particle, rate the relative actual hazard of each as low, medium</w:t>
      </w:r>
      <w:r w:rsidR="009E4EFB">
        <w:t>,</w:t>
      </w:r>
      <w:r>
        <w:t xml:space="preserve"> or high in the row labeled actual hazard.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9"/>
        <w:gridCol w:w="2239"/>
        <w:gridCol w:w="2508"/>
        <w:gridCol w:w="2418"/>
      </w:tblGrid>
      <w:tr w:rsidR="009E4EFB" w:rsidTr="009E4EFB">
        <w:trPr>
          <w:trHeight w:val="375"/>
        </w:trPr>
        <w:tc>
          <w:tcPr>
            <w:tcW w:w="1899" w:type="dxa"/>
          </w:tcPr>
          <w:p w:rsidR="009E4EFB" w:rsidRDefault="009E4EFB" w:rsidP="000550C8"/>
        </w:tc>
        <w:tc>
          <w:tcPr>
            <w:tcW w:w="2239" w:type="dxa"/>
            <w:vAlign w:val="center"/>
          </w:tcPr>
          <w:p w:rsidR="009E4EFB" w:rsidRDefault="009E4EFB" w:rsidP="000550C8">
            <w:pPr>
              <w:jc w:val="center"/>
            </w:pPr>
            <w:r>
              <w:t>Alpha Radiation</w:t>
            </w:r>
          </w:p>
        </w:tc>
        <w:tc>
          <w:tcPr>
            <w:tcW w:w="2508" w:type="dxa"/>
            <w:vAlign w:val="center"/>
          </w:tcPr>
          <w:p w:rsidR="009E4EFB" w:rsidRDefault="009E4EFB" w:rsidP="000550C8">
            <w:pPr>
              <w:jc w:val="center"/>
            </w:pPr>
            <w:r>
              <w:t>Beta Radiation</w:t>
            </w:r>
          </w:p>
        </w:tc>
        <w:tc>
          <w:tcPr>
            <w:tcW w:w="2418" w:type="dxa"/>
            <w:vAlign w:val="center"/>
          </w:tcPr>
          <w:p w:rsidR="009E4EFB" w:rsidRDefault="009E4EFB" w:rsidP="000550C8">
            <w:pPr>
              <w:jc w:val="center"/>
            </w:pPr>
            <w:r>
              <w:t>Gamma Radiation</w:t>
            </w:r>
          </w:p>
        </w:tc>
      </w:tr>
      <w:tr w:rsidR="009E4EFB" w:rsidTr="00406352">
        <w:trPr>
          <w:trHeight w:val="583"/>
        </w:trPr>
        <w:tc>
          <w:tcPr>
            <w:tcW w:w="1899" w:type="dxa"/>
            <w:vAlign w:val="center"/>
          </w:tcPr>
          <w:p w:rsidR="009E4EFB" w:rsidRDefault="009E4EFB" w:rsidP="000550C8">
            <w:pPr>
              <w:jc w:val="center"/>
            </w:pPr>
            <w:r>
              <w:t>Symbol</w:t>
            </w:r>
          </w:p>
        </w:tc>
        <w:tc>
          <w:tcPr>
            <w:tcW w:w="2239" w:type="dxa"/>
            <w:vAlign w:val="center"/>
          </w:tcPr>
          <w:p w:rsidR="009E4EFB" w:rsidRPr="00406352" w:rsidRDefault="00406352" w:rsidP="00406352">
            <w:pPr>
              <w:jc w:val="center"/>
              <w:rPr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color w:val="FF0000"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color w:val="FF0000"/>
                        <w:sz w:val="32"/>
                        <w:szCs w:val="32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color w:val="FF0000"/>
                        <w:sz w:val="32"/>
                        <w:szCs w:val="32"/>
                      </w:rPr>
                      <m:t>4</m:t>
                    </m:r>
                  </m:sup>
                  <m:e>
                    <m:r>
                      <w:rPr>
                        <w:rFonts w:ascii="Cambria Math" w:hAnsi="Cambria Math"/>
                        <w:color w:val="FF0000"/>
                        <w:sz w:val="32"/>
                        <w:szCs w:val="32"/>
                      </w:rPr>
                      <m:t>He</m:t>
                    </m:r>
                  </m:e>
                </m:sPre>
              </m:oMath>
            </m:oMathPara>
          </w:p>
        </w:tc>
        <w:tc>
          <w:tcPr>
            <w:tcW w:w="2508" w:type="dxa"/>
            <w:vAlign w:val="center"/>
          </w:tcPr>
          <w:p w:rsidR="009E4EFB" w:rsidRDefault="00406352" w:rsidP="00406352">
            <w:pPr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color w:val="FF0000"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color w:val="FF0000"/>
                        <w:sz w:val="32"/>
                        <w:szCs w:val="32"/>
                      </w:rPr>
                      <m:t>-1</m:t>
                    </m:r>
                  </m:sub>
                  <m:sup>
                    <m:r>
                      <w:rPr>
                        <w:rFonts w:ascii="Cambria Math" w:hAnsi="Cambria Math"/>
                        <w:color w:val="FF0000"/>
                        <w:sz w:val="32"/>
                        <w:szCs w:val="32"/>
                      </w:rPr>
                      <m:t>0</m:t>
                    </m:r>
                  </m:sup>
                  <m:e>
                    <m:r>
                      <w:rPr>
                        <w:rFonts w:ascii="Cambria Math" w:hAnsi="Cambria Math"/>
                        <w:color w:val="FF0000"/>
                        <w:sz w:val="32"/>
                        <w:szCs w:val="32"/>
                      </w:rPr>
                      <m:t xml:space="preserve">β or </m:t>
                    </m:r>
                    <m:sPre>
                      <m:sPre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32"/>
                            <w:szCs w:val="32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/>
                            <w:color w:val="FF0000"/>
                            <w:sz w:val="32"/>
                            <w:szCs w:val="32"/>
                          </w:rPr>
                          <m:t>-1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FF0000"/>
                            <w:sz w:val="32"/>
                            <w:szCs w:val="32"/>
                          </w:rPr>
                          <m:t>0</m:t>
                        </m:r>
                      </m:sup>
                      <m:e>
                        <m:r>
                          <w:rPr>
                            <w:rFonts w:ascii="Cambria Math" w:hAnsi="Cambria Math"/>
                            <w:color w:val="FF0000"/>
                            <w:sz w:val="32"/>
                            <w:szCs w:val="32"/>
                          </w:rPr>
                          <m:t>e</m:t>
                        </m:r>
                        <m:r>
                          <w:rPr>
                            <w:rFonts w:ascii="Cambria Math" w:hAnsi="Cambria Math"/>
                            <w:color w:val="FF0000"/>
                            <w:sz w:val="32"/>
                            <w:szCs w:val="32"/>
                          </w:rPr>
                          <m:t xml:space="preserve"> </m:t>
                        </m:r>
                      </m:e>
                    </m:sPre>
                  </m:e>
                </m:sPre>
              </m:oMath>
            </m:oMathPara>
          </w:p>
        </w:tc>
        <w:tc>
          <w:tcPr>
            <w:tcW w:w="2418" w:type="dxa"/>
            <w:vAlign w:val="center"/>
          </w:tcPr>
          <w:p w:rsidR="009E4EFB" w:rsidRDefault="00406352" w:rsidP="00406352">
            <w:pPr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color w:val="FF0000"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color w:val="FF0000"/>
                        <w:sz w:val="32"/>
                        <w:szCs w:val="32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color w:val="FF0000"/>
                        <w:sz w:val="32"/>
                        <w:szCs w:val="32"/>
                      </w:rPr>
                      <m:t>0</m:t>
                    </m:r>
                  </m:sup>
                  <m:e>
                    <m:r>
                      <w:rPr>
                        <w:rFonts w:ascii="Cambria Math" w:hAnsi="Cambria Math"/>
                        <w:color w:val="FF0000"/>
                        <w:sz w:val="32"/>
                        <w:szCs w:val="32"/>
                      </w:rPr>
                      <m:t>δ</m:t>
                    </m:r>
                  </m:e>
                </m:sPre>
              </m:oMath>
            </m:oMathPara>
          </w:p>
        </w:tc>
      </w:tr>
      <w:tr w:rsidR="009E4EFB" w:rsidTr="00406352">
        <w:trPr>
          <w:trHeight w:val="551"/>
        </w:trPr>
        <w:tc>
          <w:tcPr>
            <w:tcW w:w="1899" w:type="dxa"/>
            <w:vAlign w:val="center"/>
          </w:tcPr>
          <w:p w:rsidR="009E4EFB" w:rsidRDefault="009E4EFB" w:rsidP="000550C8">
            <w:pPr>
              <w:jc w:val="center"/>
            </w:pPr>
            <w:r>
              <w:t>Shielding</w:t>
            </w:r>
          </w:p>
        </w:tc>
        <w:tc>
          <w:tcPr>
            <w:tcW w:w="2239" w:type="dxa"/>
            <w:vAlign w:val="center"/>
          </w:tcPr>
          <w:p w:rsidR="009E4EFB" w:rsidRPr="00406352" w:rsidRDefault="00406352" w:rsidP="00406352">
            <w:pPr>
              <w:jc w:val="center"/>
              <w:rPr>
                <w:color w:val="FF0000"/>
                <w:sz w:val="28"/>
                <w:szCs w:val="28"/>
              </w:rPr>
            </w:pPr>
            <w:r w:rsidRPr="00406352">
              <w:rPr>
                <w:color w:val="FF0000"/>
                <w:sz w:val="28"/>
                <w:szCs w:val="28"/>
              </w:rPr>
              <w:t>Easy</w:t>
            </w:r>
          </w:p>
        </w:tc>
        <w:tc>
          <w:tcPr>
            <w:tcW w:w="2508" w:type="dxa"/>
            <w:vAlign w:val="center"/>
          </w:tcPr>
          <w:p w:rsidR="009E4EFB" w:rsidRPr="00406352" w:rsidRDefault="00406352" w:rsidP="00406352">
            <w:pPr>
              <w:jc w:val="center"/>
              <w:rPr>
                <w:color w:val="FF0000"/>
                <w:sz w:val="28"/>
                <w:szCs w:val="28"/>
              </w:rPr>
            </w:pPr>
            <w:r w:rsidRPr="00406352">
              <w:rPr>
                <w:color w:val="FF0000"/>
                <w:sz w:val="28"/>
                <w:szCs w:val="28"/>
              </w:rPr>
              <w:t>Medium</w:t>
            </w:r>
          </w:p>
        </w:tc>
        <w:tc>
          <w:tcPr>
            <w:tcW w:w="2418" w:type="dxa"/>
            <w:vAlign w:val="center"/>
          </w:tcPr>
          <w:p w:rsidR="009E4EFB" w:rsidRPr="00406352" w:rsidRDefault="00406352" w:rsidP="00406352">
            <w:pPr>
              <w:jc w:val="center"/>
              <w:rPr>
                <w:color w:val="FF0000"/>
                <w:sz w:val="28"/>
                <w:szCs w:val="28"/>
              </w:rPr>
            </w:pPr>
            <w:r w:rsidRPr="00406352">
              <w:rPr>
                <w:color w:val="FF0000"/>
                <w:sz w:val="28"/>
                <w:szCs w:val="28"/>
              </w:rPr>
              <w:t>difficult</w:t>
            </w:r>
          </w:p>
        </w:tc>
      </w:tr>
      <w:tr w:rsidR="009E4EFB" w:rsidTr="00406352">
        <w:trPr>
          <w:trHeight w:val="583"/>
        </w:trPr>
        <w:tc>
          <w:tcPr>
            <w:tcW w:w="1899" w:type="dxa"/>
            <w:vAlign w:val="center"/>
          </w:tcPr>
          <w:p w:rsidR="009E4EFB" w:rsidRDefault="009E4EFB" w:rsidP="000550C8">
            <w:pPr>
              <w:jc w:val="center"/>
            </w:pPr>
            <w:r>
              <w:t>Biological Hazard</w:t>
            </w:r>
          </w:p>
        </w:tc>
        <w:tc>
          <w:tcPr>
            <w:tcW w:w="2239" w:type="dxa"/>
            <w:vAlign w:val="center"/>
          </w:tcPr>
          <w:p w:rsidR="009E4EFB" w:rsidRPr="00406352" w:rsidRDefault="00406352" w:rsidP="00406352">
            <w:pPr>
              <w:jc w:val="center"/>
              <w:rPr>
                <w:color w:val="FF0000"/>
                <w:sz w:val="28"/>
                <w:szCs w:val="28"/>
              </w:rPr>
            </w:pPr>
            <w:r w:rsidRPr="00406352">
              <w:rPr>
                <w:color w:val="FF0000"/>
                <w:sz w:val="28"/>
                <w:szCs w:val="28"/>
              </w:rPr>
              <w:t>High</w:t>
            </w:r>
          </w:p>
        </w:tc>
        <w:tc>
          <w:tcPr>
            <w:tcW w:w="2508" w:type="dxa"/>
            <w:vAlign w:val="center"/>
          </w:tcPr>
          <w:p w:rsidR="009E4EFB" w:rsidRPr="00406352" w:rsidRDefault="00406352" w:rsidP="00406352">
            <w:pPr>
              <w:jc w:val="center"/>
              <w:rPr>
                <w:color w:val="FF0000"/>
                <w:sz w:val="28"/>
                <w:szCs w:val="28"/>
              </w:rPr>
            </w:pPr>
            <w:r w:rsidRPr="00406352">
              <w:rPr>
                <w:color w:val="FF0000"/>
                <w:sz w:val="28"/>
                <w:szCs w:val="28"/>
              </w:rPr>
              <w:t>Medium</w:t>
            </w:r>
          </w:p>
        </w:tc>
        <w:tc>
          <w:tcPr>
            <w:tcW w:w="2418" w:type="dxa"/>
            <w:vAlign w:val="center"/>
          </w:tcPr>
          <w:p w:rsidR="009E4EFB" w:rsidRPr="00406352" w:rsidRDefault="00406352" w:rsidP="00406352">
            <w:pPr>
              <w:jc w:val="center"/>
              <w:rPr>
                <w:color w:val="FF0000"/>
                <w:sz w:val="28"/>
                <w:szCs w:val="28"/>
              </w:rPr>
            </w:pPr>
            <w:r w:rsidRPr="00406352">
              <w:rPr>
                <w:color w:val="FF0000"/>
                <w:sz w:val="28"/>
                <w:szCs w:val="28"/>
              </w:rPr>
              <w:t>Low</w:t>
            </w:r>
          </w:p>
        </w:tc>
      </w:tr>
      <w:tr w:rsidR="00406352" w:rsidTr="00406352">
        <w:trPr>
          <w:trHeight w:val="551"/>
        </w:trPr>
        <w:tc>
          <w:tcPr>
            <w:tcW w:w="1899" w:type="dxa"/>
            <w:vAlign w:val="center"/>
          </w:tcPr>
          <w:p w:rsidR="00406352" w:rsidRDefault="00406352" w:rsidP="000550C8">
            <w:pPr>
              <w:jc w:val="center"/>
            </w:pPr>
            <w:r>
              <w:t>Energy</w:t>
            </w:r>
          </w:p>
        </w:tc>
        <w:tc>
          <w:tcPr>
            <w:tcW w:w="2239" w:type="dxa"/>
            <w:vAlign w:val="center"/>
          </w:tcPr>
          <w:p w:rsidR="00406352" w:rsidRPr="00406352" w:rsidRDefault="00406352" w:rsidP="00066A54">
            <w:pPr>
              <w:jc w:val="center"/>
              <w:rPr>
                <w:color w:val="FF0000"/>
                <w:sz w:val="28"/>
                <w:szCs w:val="28"/>
              </w:rPr>
            </w:pPr>
            <w:r w:rsidRPr="00406352">
              <w:rPr>
                <w:color w:val="FF0000"/>
                <w:sz w:val="28"/>
                <w:szCs w:val="28"/>
              </w:rPr>
              <w:t>High</w:t>
            </w:r>
          </w:p>
        </w:tc>
        <w:tc>
          <w:tcPr>
            <w:tcW w:w="2508" w:type="dxa"/>
            <w:vAlign w:val="center"/>
          </w:tcPr>
          <w:p w:rsidR="00406352" w:rsidRPr="00406352" w:rsidRDefault="00406352" w:rsidP="00066A54">
            <w:pPr>
              <w:jc w:val="center"/>
              <w:rPr>
                <w:color w:val="FF0000"/>
                <w:sz w:val="28"/>
                <w:szCs w:val="28"/>
              </w:rPr>
            </w:pPr>
            <w:r w:rsidRPr="00406352">
              <w:rPr>
                <w:color w:val="FF0000"/>
                <w:sz w:val="28"/>
                <w:szCs w:val="28"/>
              </w:rPr>
              <w:t>Medium</w:t>
            </w:r>
          </w:p>
        </w:tc>
        <w:tc>
          <w:tcPr>
            <w:tcW w:w="2418" w:type="dxa"/>
            <w:vAlign w:val="center"/>
          </w:tcPr>
          <w:p w:rsidR="00406352" w:rsidRPr="00406352" w:rsidRDefault="00406352" w:rsidP="00066A54">
            <w:pPr>
              <w:jc w:val="center"/>
              <w:rPr>
                <w:color w:val="FF0000"/>
                <w:sz w:val="28"/>
                <w:szCs w:val="28"/>
              </w:rPr>
            </w:pPr>
            <w:r w:rsidRPr="00406352">
              <w:rPr>
                <w:color w:val="FF0000"/>
                <w:sz w:val="28"/>
                <w:szCs w:val="28"/>
              </w:rPr>
              <w:t>Low</w:t>
            </w:r>
          </w:p>
        </w:tc>
      </w:tr>
      <w:tr w:rsidR="00406352" w:rsidTr="00406352">
        <w:trPr>
          <w:trHeight w:val="616"/>
        </w:trPr>
        <w:tc>
          <w:tcPr>
            <w:tcW w:w="1899" w:type="dxa"/>
            <w:vAlign w:val="center"/>
          </w:tcPr>
          <w:p w:rsidR="00406352" w:rsidRDefault="00406352" w:rsidP="000550C8">
            <w:pPr>
              <w:jc w:val="center"/>
            </w:pPr>
            <w:r>
              <w:t>Actual Hazard</w:t>
            </w:r>
          </w:p>
        </w:tc>
        <w:tc>
          <w:tcPr>
            <w:tcW w:w="2239" w:type="dxa"/>
            <w:vAlign w:val="center"/>
          </w:tcPr>
          <w:p w:rsidR="00406352" w:rsidRPr="00406352" w:rsidRDefault="00406352" w:rsidP="00066A54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Low</w:t>
            </w:r>
          </w:p>
        </w:tc>
        <w:tc>
          <w:tcPr>
            <w:tcW w:w="2508" w:type="dxa"/>
            <w:vAlign w:val="center"/>
          </w:tcPr>
          <w:p w:rsidR="00406352" w:rsidRPr="00406352" w:rsidRDefault="00406352" w:rsidP="00066A54">
            <w:pPr>
              <w:jc w:val="center"/>
              <w:rPr>
                <w:color w:val="FF0000"/>
                <w:sz w:val="28"/>
                <w:szCs w:val="28"/>
              </w:rPr>
            </w:pPr>
            <w:r w:rsidRPr="00406352">
              <w:rPr>
                <w:color w:val="FF0000"/>
                <w:sz w:val="28"/>
                <w:szCs w:val="28"/>
              </w:rPr>
              <w:t>Medium</w:t>
            </w:r>
          </w:p>
        </w:tc>
        <w:tc>
          <w:tcPr>
            <w:tcW w:w="2418" w:type="dxa"/>
            <w:vAlign w:val="center"/>
          </w:tcPr>
          <w:p w:rsidR="00406352" w:rsidRPr="00406352" w:rsidRDefault="00406352" w:rsidP="00066A54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High</w:t>
            </w:r>
          </w:p>
        </w:tc>
      </w:tr>
    </w:tbl>
    <w:p w:rsidR="009E4EFB" w:rsidRDefault="009E4EFB" w:rsidP="009E4EFB">
      <w:pPr>
        <w:pStyle w:val="ListParagraph"/>
        <w:ind w:left="-90"/>
      </w:pPr>
    </w:p>
    <w:p w:rsidR="00013078" w:rsidRDefault="00013078" w:rsidP="00013078">
      <w:pPr>
        <w:pStyle w:val="ListParagraph"/>
        <w:numPr>
          <w:ilvl w:val="0"/>
          <w:numId w:val="2"/>
        </w:numPr>
      </w:pPr>
      <w:r>
        <w:t>Go to the third website listed under Radiation/Safety Resources and answer the following questions based on the material.</w:t>
      </w:r>
    </w:p>
    <w:p w:rsidR="00013078" w:rsidRDefault="00426396" w:rsidP="00013078">
      <w:pPr>
        <w:pStyle w:val="ListParagraph"/>
        <w:numPr>
          <w:ilvl w:val="1"/>
          <w:numId w:val="2"/>
        </w:numPr>
      </w:pPr>
      <w:r>
        <w:t>What is ionizing radiation?</w:t>
      </w:r>
    </w:p>
    <w:p w:rsidR="00426396" w:rsidRPr="00406352" w:rsidRDefault="00406352" w:rsidP="00406352">
      <w:pPr>
        <w:pStyle w:val="ListParagraph"/>
        <w:ind w:left="630"/>
        <w:rPr>
          <w:sz w:val="28"/>
          <w:szCs w:val="28"/>
        </w:rPr>
      </w:pPr>
      <w:r w:rsidRPr="00406352">
        <w:rPr>
          <w:color w:val="FF0000"/>
          <w:sz w:val="28"/>
          <w:szCs w:val="28"/>
        </w:rPr>
        <w:t>Decay particles that move through matter and knock electrons out of orbit thereby creating ions.</w:t>
      </w:r>
    </w:p>
    <w:p w:rsidR="00426396" w:rsidRDefault="00426396" w:rsidP="00426396">
      <w:pPr>
        <w:pStyle w:val="ListParagraph"/>
        <w:ind w:left="-90"/>
      </w:pPr>
    </w:p>
    <w:p w:rsidR="00426396" w:rsidRDefault="00426396" w:rsidP="00013078">
      <w:pPr>
        <w:pStyle w:val="ListParagraph"/>
        <w:numPr>
          <w:ilvl w:val="1"/>
          <w:numId w:val="2"/>
        </w:numPr>
      </w:pPr>
      <w:r>
        <w:t>What are the three factors that affect radiation doses?</w:t>
      </w:r>
    </w:p>
    <w:p w:rsidR="009E4EFB" w:rsidRPr="00406352" w:rsidRDefault="009E4EFB" w:rsidP="009E4EFB">
      <w:pPr>
        <w:pStyle w:val="ListParagraph"/>
        <w:ind w:left="630"/>
        <w:rPr>
          <w:sz w:val="16"/>
          <w:szCs w:val="16"/>
        </w:rPr>
      </w:pPr>
    </w:p>
    <w:p w:rsidR="00406352" w:rsidRPr="00406352" w:rsidRDefault="00406352" w:rsidP="009E4EFB">
      <w:pPr>
        <w:pStyle w:val="ListParagraph"/>
        <w:ind w:left="630"/>
        <w:rPr>
          <w:color w:val="FF0000"/>
          <w:sz w:val="28"/>
          <w:szCs w:val="28"/>
        </w:rPr>
      </w:pPr>
      <w:r w:rsidRPr="00406352">
        <w:rPr>
          <w:color w:val="FF0000"/>
          <w:sz w:val="28"/>
          <w:szCs w:val="28"/>
        </w:rPr>
        <w:t>Time, Distance and Shielding</w:t>
      </w:r>
    </w:p>
    <w:p w:rsidR="00426396" w:rsidRPr="00406352" w:rsidRDefault="00426396" w:rsidP="00426396">
      <w:pPr>
        <w:pStyle w:val="ListParagraph"/>
        <w:rPr>
          <w:sz w:val="16"/>
          <w:szCs w:val="16"/>
        </w:rPr>
      </w:pPr>
    </w:p>
    <w:p w:rsidR="00426396" w:rsidRDefault="00426396" w:rsidP="00013078">
      <w:pPr>
        <w:pStyle w:val="ListParagraph"/>
        <w:numPr>
          <w:ilvl w:val="1"/>
          <w:numId w:val="2"/>
        </w:numPr>
      </w:pPr>
      <w:r>
        <w:t>If a person stands 20ft from a radiation source</w:t>
      </w:r>
      <w:r w:rsidR="00577DD2">
        <w:t>,</w:t>
      </w:r>
      <w:r>
        <w:t xml:space="preserve"> how will the dose of radiation received compare to the dose that a person who is 1ft away from the source would receive?</w:t>
      </w:r>
    </w:p>
    <w:p w:rsidR="00406352" w:rsidRPr="00406352" w:rsidRDefault="00406352" w:rsidP="00406352">
      <w:pPr>
        <w:pStyle w:val="ListParagraph"/>
        <w:rPr>
          <w:sz w:val="16"/>
          <w:szCs w:val="16"/>
        </w:rPr>
      </w:pPr>
    </w:p>
    <w:p w:rsidR="00406352" w:rsidRPr="00406352" w:rsidRDefault="00406352" w:rsidP="00406352">
      <w:pPr>
        <w:pStyle w:val="ListParagraph"/>
        <w:rPr>
          <w:color w:val="FF0000"/>
          <w:sz w:val="28"/>
          <w:szCs w:val="28"/>
        </w:rPr>
      </w:pPr>
      <w:r w:rsidRPr="00406352">
        <w:rPr>
          <w:color w:val="FF0000"/>
          <w:sz w:val="28"/>
          <w:szCs w:val="28"/>
        </w:rPr>
        <w:t>1/400</w:t>
      </w:r>
    </w:p>
    <w:sectPr w:rsidR="00406352" w:rsidRPr="00406352" w:rsidSect="00406352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04BBE"/>
    <w:multiLevelType w:val="hybridMultilevel"/>
    <w:tmpl w:val="28EE839A"/>
    <w:lvl w:ilvl="0" w:tplc="176E3316">
      <w:start w:val="1"/>
      <w:numFmt w:val="upperLetter"/>
      <w:lvlText w:val="%1."/>
      <w:lvlJc w:val="left"/>
      <w:pPr>
        <w:ind w:left="-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">
    <w:nsid w:val="2E0D742F"/>
    <w:multiLevelType w:val="hybridMultilevel"/>
    <w:tmpl w:val="29343E28"/>
    <w:lvl w:ilvl="0" w:tplc="226867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DC5B30"/>
    <w:multiLevelType w:val="hybridMultilevel"/>
    <w:tmpl w:val="7D025C84"/>
    <w:lvl w:ilvl="0" w:tplc="2D24064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082"/>
    <w:rsid w:val="00013078"/>
    <w:rsid w:val="000C4C60"/>
    <w:rsid w:val="00214C95"/>
    <w:rsid w:val="00406352"/>
    <w:rsid w:val="00426396"/>
    <w:rsid w:val="00577DD2"/>
    <w:rsid w:val="00736505"/>
    <w:rsid w:val="00772617"/>
    <w:rsid w:val="009142CC"/>
    <w:rsid w:val="009C0F73"/>
    <w:rsid w:val="009E4EFB"/>
    <w:rsid w:val="00A27082"/>
    <w:rsid w:val="00AD11BE"/>
    <w:rsid w:val="00AF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70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708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0635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3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70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708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0635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3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40F10-A02B-4309-B157-52EF8E6DD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2</cp:revision>
  <cp:lastPrinted>2013-11-08T00:17:00Z</cp:lastPrinted>
  <dcterms:created xsi:type="dcterms:W3CDTF">2013-11-10T23:50:00Z</dcterms:created>
  <dcterms:modified xsi:type="dcterms:W3CDTF">2013-11-10T23:50:00Z</dcterms:modified>
</cp:coreProperties>
</file>